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13" w:rsidRDefault="00C17C75"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南开大学泰达生物技术研究院研究生优秀奖学金评定细则</w:t>
      </w:r>
    </w:p>
    <w:p w:rsidR="00FE1F13" w:rsidRDefault="00FE1F13">
      <w:pPr>
        <w:rPr>
          <w:rFonts w:cs="Times New Roman"/>
        </w:rPr>
      </w:pPr>
    </w:p>
    <w:p w:rsidR="00FE1F13" w:rsidRDefault="00C17C75" w:rsidP="00C17C75">
      <w:pPr>
        <w:spacing w:line="600" w:lineRule="exact"/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一、评选范围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在基本学习年限内就读的研究生个人。</w:t>
      </w:r>
    </w:p>
    <w:p w:rsidR="00FE1F13" w:rsidRDefault="00C17C75" w:rsidP="00C17C75">
      <w:pPr>
        <w:spacing w:line="600" w:lineRule="exact"/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二、评选条件和程序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申请者应具备下列基本条件：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（一）热爱社会主义祖国，拥护中国共产党的领导；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（二）遵守宪法和法律，遵守高等学校规章制度；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（三）诚实守信，道德品质优良；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（四）学习成绩优异，科研能力显著，发展潜力突出；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（五）“公能”兼备，全面发展。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有下列情形的，不得参加优秀奖学金的评审：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（一）违反校规校纪受到处分的；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（二）在学术科研中有弄虚作假行为的；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（三）在科研或实验中违反工作程序，造成重大损失的；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（四）上一学年度课程考试有不及格的；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（五）其他被认定不得参评的。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申请者向学院提交书面申请，申请材料应包含申请者在上一学年的思想表现、学习成绩、科研成果等信息。</w:t>
      </w:r>
      <w:r w:rsidRPr="00C17C75">
        <w:rPr>
          <w:rFonts w:eastAsia="仿宋_GB2312" w:cs="仿宋_GB2312" w:hint="eastAsia"/>
          <w:color w:val="FF0000"/>
          <w:sz w:val="28"/>
          <w:szCs w:val="28"/>
        </w:rPr>
        <w:t>科研成果原则上应该</w:t>
      </w:r>
      <w:r w:rsidRPr="00C17C75">
        <w:rPr>
          <w:rFonts w:eastAsia="仿宋_GB2312" w:cs="仿宋_GB2312" w:hint="eastAsia"/>
          <w:color w:val="FF0000"/>
          <w:sz w:val="28"/>
          <w:szCs w:val="28"/>
        </w:rPr>
        <w:t>以南开大学为第一署名单位，</w:t>
      </w:r>
      <w:r w:rsidRPr="00C17C75">
        <w:rPr>
          <w:rFonts w:eastAsia="仿宋_GB2312" w:cs="仿宋_GB2312" w:hint="eastAsia"/>
          <w:color w:val="FF0000"/>
          <w:sz w:val="28"/>
          <w:szCs w:val="28"/>
        </w:rPr>
        <w:t>非</w:t>
      </w:r>
      <w:r w:rsidRPr="00C17C75">
        <w:rPr>
          <w:rFonts w:eastAsia="仿宋_GB2312" w:cs="仿宋_GB2312" w:hint="eastAsia"/>
          <w:color w:val="FF0000"/>
          <w:sz w:val="28"/>
          <w:szCs w:val="28"/>
        </w:rPr>
        <w:t>第一署名</w:t>
      </w:r>
      <w:r w:rsidRPr="00C17C75">
        <w:rPr>
          <w:rFonts w:eastAsia="仿宋_GB2312" w:cs="仿宋_GB2312" w:hint="eastAsia"/>
          <w:color w:val="FF0000"/>
          <w:sz w:val="28"/>
          <w:szCs w:val="28"/>
        </w:rPr>
        <w:t>单位</w:t>
      </w:r>
      <w:r>
        <w:rPr>
          <w:rFonts w:eastAsia="仿宋_GB2312" w:cs="仿宋_GB2312" w:hint="eastAsia"/>
          <w:color w:val="FF0000"/>
          <w:sz w:val="28"/>
          <w:szCs w:val="28"/>
        </w:rPr>
        <w:t>成果同等影响因子下</w:t>
      </w:r>
      <w:r w:rsidRPr="00C17C75">
        <w:rPr>
          <w:rFonts w:eastAsia="仿宋_GB2312" w:cs="仿宋_GB2312" w:hint="eastAsia"/>
          <w:color w:val="FF0000"/>
          <w:sz w:val="28"/>
          <w:szCs w:val="28"/>
        </w:rPr>
        <w:t>降一档处理。</w:t>
      </w:r>
      <w:bookmarkStart w:id="0" w:name="_GoBack"/>
      <w:bookmarkEnd w:id="0"/>
    </w:p>
    <w:p w:rsidR="00FE1F13" w:rsidRDefault="00C17C75" w:rsidP="00C17C75">
      <w:pPr>
        <w:spacing w:line="600" w:lineRule="exact"/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三、评选人数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学校研究生院每年依据各学院研究生总人数按比例分配奖励名</w:t>
      </w:r>
      <w:r>
        <w:rPr>
          <w:rFonts w:eastAsia="仿宋_GB2312" w:cs="仿宋_GB2312" w:hint="eastAsia"/>
          <w:sz w:val="28"/>
          <w:szCs w:val="28"/>
        </w:rPr>
        <w:lastRenderedPageBreak/>
        <w:t>额，我学院以分配到的奖励名额为评选人数。</w:t>
      </w:r>
    </w:p>
    <w:p w:rsidR="00FE1F13" w:rsidRDefault="00C17C75" w:rsidP="00C17C75">
      <w:pPr>
        <w:spacing w:line="600" w:lineRule="exact"/>
        <w:ind w:firstLineChars="200" w:firstLine="562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四、奖励办法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按照学校有关文件要求，对获得“研究生优秀奖学金”的学生公示无异议后上报到研究生院，由学校统一颁发个人荣誉证书及对应</w:t>
      </w:r>
      <w:r>
        <w:rPr>
          <w:rFonts w:eastAsia="仿宋_GB2312" w:cs="仿宋_GB2312" w:hint="eastAsia"/>
          <w:sz w:val="28"/>
          <w:szCs w:val="28"/>
        </w:rPr>
        <w:t>金额的奖金。</w:t>
      </w:r>
    </w:p>
    <w:p w:rsidR="00FE1F13" w:rsidRDefault="00C17C75" w:rsidP="00C17C75">
      <w:pPr>
        <w:spacing w:line="600" w:lineRule="exact"/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五、评定标准</w:t>
      </w:r>
    </w:p>
    <w:p w:rsidR="00FE1F13" w:rsidRDefault="00C17C75" w:rsidP="00C17C75">
      <w:pPr>
        <w:spacing w:line="60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根据学生在学期间取得的科研成果（发表文章以接收函为准）质量、参与程度和在工作、学习、科研、团队协作等多方面的综合能力表现，按照如下标准定量考核，两项内容定量结果总合作为评定指标。</w:t>
      </w:r>
    </w:p>
    <w:p w:rsidR="00FE1F13" w:rsidRDefault="00C17C75">
      <w:pPr>
        <w:pStyle w:val="1"/>
        <w:numPr>
          <w:ilvl w:val="0"/>
          <w:numId w:val="1"/>
        </w:numPr>
        <w:spacing w:line="600" w:lineRule="exact"/>
        <w:ind w:firstLineChars="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科研成果（每篇</w:t>
      </w:r>
      <w:r>
        <w:rPr>
          <w:rFonts w:eastAsia="仿宋_GB2312"/>
          <w:sz w:val="28"/>
          <w:szCs w:val="28"/>
        </w:rPr>
        <w:t>/</w:t>
      </w:r>
      <w:proofErr w:type="gramStart"/>
      <w:r>
        <w:rPr>
          <w:rFonts w:eastAsia="仿宋_GB2312" w:cs="仿宋_GB2312" w:hint="eastAsia"/>
          <w:sz w:val="28"/>
          <w:szCs w:val="28"/>
        </w:rPr>
        <w:t>个</w:t>
      </w:r>
      <w:proofErr w:type="gramEnd"/>
      <w:r>
        <w:rPr>
          <w:rFonts w:eastAsia="仿宋_GB2312" w:cs="仿宋_GB2312" w:hint="eastAsia"/>
          <w:sz w:val="28"/>
          <w:szCs w:val="28"/>
        </w:rPr>
        <w:t>）</w:t>
      </w:r>
    </w:p>
    <w:p w:rsidR="00FE1F13" w:rsidRDefault="00FE1F13">
      <w:pPr>
        <w:spacing w:line="600" w:lineRule="exact"/>
        <w:rPr>
          <w:rFonts w:eastAsia="仿宋_GB2312" w:cs="Times New Roman"/>
          <w:sz w:val="28"/>
          <w:szCs w:val="28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1417"/>
        <w:gridCol w:w="1418"/>
        <w:gridCol w:w="1559"/>
        <w:gridCol w:w="1134"/>
        <w:gridCol w:w="1487"/>
      </w:tblGrid>
      <w:tr w:rsidR="00FE1F13">
        <w:trPr>
          <w:jc w:val="center"/>
        </w:trPr>
        <w:tc>
          <w:tcPr>
            <w:tcW w:w="2476" w:type="dxa"/>
            <w:tcBorders>
              <w:tl2br w:val="single" w:sz="4" w:space="0" w:color="auto"/>
            </w:tcBorders>
          </w:tcPr>
          <w:p w:rsidR="00FE1F13" w:rsidRDefault="00C17C75" w:rsidP="00C17C75">
            <w:pPr>
              <w:spacing w:line="276" w:lineRule="auto"/>
              <w:ind w:firstLineChars="300" w:firstLine="720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期刊类型</w:t>
            </w:r>
          </w:p>
          <w:p w:rsidR="00FE1F13" w:rsidRDefault="00FE1F13">
            <w:pPr>
              <w:spacing w:line="276" w:lineRule="auto"/>
              <w:rPr>
                <w:rFonts w:eastAsia="仿宋_GB2312" w:cs="Times New Roman"/>
                <w:sz w:val="24"/>
                <w:szCs w:val="24"/>
              </w:rPr>
            </w:pPr>
          </w:p>
          <w:p w:rsidR="00FE1F13" w:rsidRDefault="00C17C75">
            <w:pPr>
              <w:spacing w:line="276" w:lineRule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参与程度</w:t>
            </w:r>
          </w:p>
        </w:tc>
        <w:tc>
          <w:tcPr>
            <w:tcW w:w="1417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SCI IF</w:t>
            </w:r>
            <w:r>
              <w:rPr>
                <w:rFonts w:ascii="宋体" w:hAnsi="宋体" w:cs="宋体" w:hint="eastAsia"/>
                <w:sz w:val="28"/>
                <w:szCs w:val="28"/>
              </w:rPr>
              <w:t>≧</w:t>
            </w:r>
            <w:r>
              <w:rPr>
                <w:rFonts w:eastAsia="仿宋_GB2312"/>
                <w:sz w:val="28"/>
                <w:szCs w:val="28"/>
              </w:rPr>
              <w:t>5.0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SCI 3.3</w:t>
            </w:r>
            <w:r>
              <w:rPr>
                <w:rFonts w:ascii="宋体" w:hAnsi="宋体" w:cs="宋体" w:hint="eastAsia"/>
                <w:sz w:val="28"/>
                <w:szCs w:val="28"/>
              </w:rPr>
              <w:t>≦</w:t>
            </w:r>
            <w:r>
              <w:rPr>
                <w:rFonts w:eastAsia="仿宋_GB2312"/>
                <w:sz w:val="28"/>
                <w:szCs w:val="28"/>
              </w:rPr>
              <w:t>IF</w:t>
            </w:r>
            <w:r>
              <w:rPr>
                <w:rFonts w:ascii="宋体" w:hAnsi="宋体" w:cs="宋体"/>
                <w:sz w:val="28"/>
                <w:szCs w:val="28"/>
              </w:rPr>
              <w:t>&lt;5.0</w:t>
            </w:r>
          </w:p>
        </w:tc>
        <w:tc>
          <w:tcPr>
            <w:tcW w:w="1559" w:type="dxa"/>
          </w:tcPr>
          <w:p w:rsidR="00FE1F13" w:rsidRDefault="00C17C7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SCI 1</w:t>
            </w:r>
            <w:r>
              <w:rPr>
                <w:rFonts w:ascii="宋体" w:hAnsi="宋体" w:cs="宋体" w:hint="eastAsia"/>
                <w:sz w:val="28"/>
                <w:szCs w:val="28"/>
              </w:rPr>
              <w:t>≦</w:t>
            </w:r>
            <w:r>
              <w:rPr>
                <w:rFonts w:eastAsia="仿宋_GB2312"/>
                <w:sz w:val="28"/>
                <w:szCs w:val="28"/>
              </w:rPr>
              <w:t>IF</w:t>
            </w:r>
            <w:r>
              <w:rPr>
                <w:rFonts w:ascii="宋体" w:hAnsi="宋体" w:cs="宋体"/>
                <w:sz w:val="28"/>
                <w:szCs w:val="28"/>
              </w:rPr>
              <w:t>&lt;</w:t>
            </w:r>
            <w:r>
              <w:rPr>
                <w:rFonts w:eastAsia="仿宋_GB2312"/>
                <w:sz w:val="28"/>
                <w:szCs w:val="28"/>
              </w:rPr>
              <w:t>3.3</w:t>
            </w:r>
          </w:p>
        </w:tc>
        <w:tc>
          <w:tcPr>
            <w:tcW w:w="1134" w:type="dxa"/>
          </w:tcPr>
          <w:p w:rsidR="00FE1F13" w:rsidRDefault="00C17C7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SCI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&lt;</w:t>
            </w:r>
            <w:r>
              <w:rPr>
                <w:rFonts w:eastAsia="仿宋_GB2312"/>
                <w:sz w:val="28"/>
                <w:szCs w:val="28"/>
              </w:rPr>
              <w:t>1.0</w:t>
            </w:r>
          </w:p>
        </w:tc>
        <w:tc>
          <w:tcPr>
            <w:tcW w:w="1487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FF0000"/>
                <w:sz w:val="24"/>
                <w:szCs w:val="24"/>
              </w:rPr>
              <w:t>发明</w:t>
            </w:r>
            <w:r>
              <w:rPr>
                <w:rFonts w:eastAsia="仿宋_GB2312" w:cs="仿宋_GB2312" w:hint="eastAsia"/>
                <w:sz w:val="24"/>
                <w:szCs w:val="24"/>
              </w:rPr>
              <w:t>专利或核心期刊</w:t>
            </w:r>
          </w:p>
        </w:tc>
      </w:tr>
      <w:tr w:rsidR="00FE1F13">
        <w:trPr>
          <w:trHeight w:val="759"/>
          <w:jc w:val="center"/>
        </w:trPr>
        <w:tc>
          <w:tcPr>
            <w:tcW w:w="2476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第一作者</w:t>
            </w:r>
          </w:p>
        </w:tc>
        <w:tc>
          <w:tcPr>
            <w:tcW w:w="1417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559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487" w:type="dxa"/>
          </w:tcPr>
          <w:p w:rsidR="00FE1F13" w:rsidRDefault="00C17C75">
            <w:pPr>
              <w:spacing w:line="60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</w:tr>
      <w:tr w:rsidR="00FE1F13">
        <w:trPr>
          <w:trHeight w:val="703"/>
          <w:jc w:val="center"/>
        </w:trPr>
        <w:tc>
          <w:tcPr>
            <w:tcW w:w="2476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第二作者（学生第一）</w:t>
            </w:r>
          </w:p>
        </w:tc>
        <w:tc>
          <w:tcPr>
            <w:tcW w:w="1417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559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487" w:type="dxa"/>
          </w:tcPr>
          <w:p w:rsidR="00FE1F13" w:rsidRDefault="00C17C75">
            <w:pPr>
              <w:spacing w:line="60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</w:tr>
      <w:tr w:rsidR="00FE1F13">
        <w:trPr>
          <w:trHeight w:val="703"/>
          <w:jc w:val="center"/>
        </w:trPr>
        <w:tc>
          <w:tcPr>
            <w:tcW w:w="2476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位列前三作者</w:t>
            </w:r>
          </w:p>
        </w:tc>
        <w:tc>
          <w:tcPr>
            <w:tcW w:w="1417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559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487" w:type="dxa"/>
          </w:tcPr>
          <w:p w:rsidR="00FE1F13" w:rsidRDefault="00C17C75">
            <w:pPr>
              <w:spacing w:line="60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</w:tr>
      <w:tr w:rsidR="00FE1F13">
        <w:trPr>
          <w:trHeight w:val="684"/>
          <w:jc w:val="center"/>
        </w:trPr>
        <w:tc>
          <w:tcPr>
            <w:tcW w:w="2476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位列第四及以后</w:t>
            </w:r>
          </w:p>
        </w:tc>
        <w:tc>
          <w:tcPr>
            <w:tcW w:w="1417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559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FE1F13" w:rsidRDefault="00C17C75">
            <w:pPr>
              <w:spacing w:line="60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1487" w:type="dxa"/>
          </w:tcPr>
          <w:p w:rsidR="00FE1F13" w:rsidRDefault="00C17C75">
            <w:pPr>
              <w:spacing w:line="60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cs="仿宋_GB2312" w:hint="eastAsia"/>
                <w:sz w:val="28"/>
                <w:szCs w:val="28"/>
              </w:rPr>
              <w:t>分</w:t>
            </w:r>
          </w:p>
        </w:tc>
      </w:tr>
    </w:tbl>
    <w:p w:rsidR="00FE1F13" w:rsidRDefault="00FE1F13" w:rsidP="00C17C75">
      <w:pPr>
        <w:spacing w:line="600" w:lineRule="exact"/>
        <w:ind w:firstLineChars="202" w:firstLine="566"/>
        <w:rPr>
          <w:rFonts w:eastAsia="仿宋_GB2312" w:cs="Times New Roman"/>
          <w:sz w:val="28"/>
          <w:szCs w:val="28"/>
        </w:rPr>
      </w:pPr>
    </w:p>
    <w:p w:rsidR="00FE1F13" w:rsidRDefault="00C17C75">
      <w:pPr>
        <w:pStyle w:val="1"/>
        <w:numPr>
          <w:ilvl w:val="0"/>
          <w:numId w:val="1"/>
        </w:numPr>
        <w:spacing w:line="600" w:lineRule="exact"/>
        <w:ind w:firstLineChars="0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在学期间综合能力表现</w:t>
      </w:r>
    </w:p>
    <w:p w:rsidR="00FE1F13" w:rsidRDefault="00FE1F13">
      <w:pPr>
        <w:pStyle w:val="1"/>
        <w:spacing w:line="600" w:lineRule="exact"/>
        <w:ind w:left="566" w:firstLineChars="0" w:firstLine="0"/>
        <w:rPr>
          <w:rFonts w:eastAsia="仿宋_GB2312" w:cs="Times New Roman"/>
          <w:sz w:val="28"/>
          <w:szCs w:val="28"/>
        </w:rPr>
      </w:pP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1701"/>
        <w:gridCol w:w="1418"/>
      </w:tblGrid>
      <w:tr w:rsidR="00FE1F13">
        <w:tc>
          <w:tcPr>
            <w:tcW w:w="1951" w:type="dxa"/>
          </w:tcPr>
          <w:p w:rsidR="00FE1F13" w:rsidRDefault="00C17C75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考核项目</w:t>
            </w:r>
          </w:p>
        </w:tc>
        <w:tc>
          <w:tcPr>
            <w:tcW w:w="3969" w:type="dxa"/>
          </w:tcPr>
          <w:p w:rsidR="00FE1F13" w:rsidRDefault="00C17C75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考核标准</w:t>
            </w:r>
          </w:p>
        </w:tc>
        <w:tc>
          <w:tcPr>
            <w:tcW w:w="1701" w:type="dxa"/>
          </w:tcPr>
          <w:p w:rsidR="00FE1F13" w:rsidRDefault="00C17C75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考核人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最高量值</w:t>
            </w:r>
          </w:p>
        </w:tc>
      </w:tr>
      <w:tr w:rsidR="00FE1F13">
        <w:tc>
          <w:tcPr>
            <w:tcW w:w="1951" w:type="dxa"/>
          </w:tcPr>
          <w:p w:rsidR="00FE1F13" w:rsidRDefault="00C17C75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科学实验能力</w:t>
            </w:r>
          </w:p>
          <w:p w:rsidR="00FE1F13" w:rsidRDefault="00C17C75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seminar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</w:tcPr>
          <w:p w:rsidR="00FE1F13" w:rsidRDefault="00C17C75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  <w:highlight w:val="lightGray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具有认真的科学态度，严谨的思考能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力，积极的工作热情，工作量饱满，实验数据准确可靠，每次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seminar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汇报结果满意。</w:t>
            </w:r>
          </w:p>
        </w:tc>
        <w:tc>
          <w:tcPr>
            <w:tcW w:w="1701" w:type="dxa"/>
          </w:tcPr>
          <w:p w:rsidR="00FE1F13" w:rsidRDefault="00C17C75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导师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40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分</w:t>
            </w:r>
          </w:p>
        </w:tc>
      </w:tr>
      <w:tr w:rsidR="00FE1F13">
        <w:tc>
          <w:tcPr>
            <w:tcW w:w="1951" w:type="dxa"/>
          </w:tcPr>
          <w:p w:rsidR="00FE1F13" w:rsidRDefault="00C17C75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实验操作技能</w:t>
            </w:r>
          </w:p>
        </w:tc>
        <w:tc>
          <w:tcPr>
            <w:tcW w:w="3969" w:type="dxa"/>
          </w:tcPr>
          <w:p w:rsidR="00FE1F13" w:rsidRDefault="00C17C75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实验操作认真、规范。爱护实验仪器，严格按照仪器操作规程使用，用后归位、复原。严格遵守学校实验室各项安全规章制度。</w:t>
            </w:r>
          </w:p>
        </w:tc>
        <w:tc>
          <w:tcPr>
            <w:tcW w:w="1701" w:type="dxa"/>
          </w:tcPr>
          <w:p w:rsidR="00FE1F13" w:rsidRDefault="00C17C75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实验室负责人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分</w:t>
            </w:r>
          </w:p>
        </w:tc>
      </w:tr>
      <w:tr w:rsidR="00FE1F13">
        <w:tc>
          <w:tcPr>
            <w:tcW w:w="1951" w:type="dxa"/>
          </w:tcPr>
          <w:p w:rsidR="00FE1F13" w:rsidRDefault="00C17C75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实验室各项值班表现</w:t>
            </w:r>
          </w:p>
        </w:tc>
        <w:tc>
          <w:tcPr>
            <w:tcW w:w="3969" w:type="dxa"/>
          </w:tcPr>
          <w:p w:rsidR="00FE1F13" w:rsidRDefault="00C17C75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认真执行电泳室、公共区域卫生及夜间值班制度，尽职尽责。当值期间做到实验室公共区域、桌面整洁，无尘土，地面干净，垃圾及时清理。及时发现安全隐患，关闭不必要的水、电设施及门窗，无事故发生。</w:t>
            </w:r>
          </w:p>
        </w:tc>
        <w:tc>
          <w:tcPr>
            <w:tcW w:w="1701" w:type="dxa"/>
          </w:tcPr>
          <w:p w:rsidR="00FE1F13" w:rsidRDefault="00C17C75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全体研究生和相关实验室老师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分</w:t>
            </w:r>
          </w:p>
        </w:tc>
      </w:tr>
      <w:tr w:rsidR="00FE1F13">
        <w:tc>
          <w:tcPr>
            <w:tcW w:w="1951" w:type="dxa"/>
          </w:tcPr>
          <w:p w:rsidR="00FE1F13" w:rsidRDefault="00C17C75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实验室出勤</w:t>
            </w:r>
          </w:p>
        </w:tc>
        <w:tc>
          <w:tcPr>
            <w:tcW w:w="3969" w:type="dxa"/>
          </w:tcPr>
          <w:p w:rsidR="00FE1F13" w:rsidRDefault="00C17C75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保证出勤，出满勤，不迟到，不早退。</w:t>
            </w:r>
          </w:p>
        </w:tc>
        <w:tc>
          <w:tcPr>
            <w:tcW w:w="1701" w:type="dxa"/>
          </w:tcPr>
          <w:p w:rsidR="00FE1F13" w:rsidRDefault="00C17C75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考勤统计人</w:t>
            </w:r>
          </w:p>
        </w:tc>
        <w:tc>
          <w:tcPr>
            <w:tcW w:w="1418" w:type="dxa"/>
          </w:tcPr>
          <w:p w:rsidR="00FE1F13" w:rsidRDefault="00C17C75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分</w:t>
            </w:r>
          </w:p>
        </w:tc>
      </w:tr>
    </w:tbl>
    <w:p w:rsidR="00FE1F13" w:rsidRDefault="00FE1F13">
      <w:pPr>
        <w:spacing w:line="600" w:lineRule="exact"/>
        <w:ind w:firstLine="540"/>
        <w:rPr>
          <w:rFonts w:eastAsia="仿宋_GB2312" w:cs="Times New Roman"/>
          <w:sz w:val="28"/>
          <w:szCs w:val="28"/>
        </w:rPr>
      </w:pPr>
    </w:p>
    <w:p w:rsidR="00FE1F13" w:rsidRDefault="00C17C75" w:rsidP="00C17C75">
      <w:pPr>
        <w:spacing w:line="600" w:lineRule="exact"/>
        <w:ind w:firstLineChars="202" w:firstLine="568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六、本办法自颁布之日执行</w:t>
      </w:r>
    </w:p>
    <w:p w:rsidR="00FE1F13" w:rsidRDefault="00FE1F13" w:rsidP="00C17C75">
      <w:pPr>
        <w:spacing w:line="600" w:lineRule="exact"/>
        <w:ind w:firstLineChars="202" w:firstLine="568"/>
        <w:rPr>
          <w:rFonts w:eastAsia="仿宋_GB2312" w:cs="Times New Roman"/>
          <w:b/>
          <w:bCs/>
          <w:sz w:val="28"/>
          <w:szCs w:val="28"/>
        </w:rPr>
      </w:pPr>
    </w:p>
    <w:p w:rsidR="00FE1F13" w:rsidRDefault="00C17C75" w:rsidP="00C17C75">
      <w:pPr>
        <w:spacing w:line="600" w:lineRule="exact"/>
        <w:ind w:firstLineChars="202" w:firstLine="568"/>
        <w:jc w:val="right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南开大学泰达生物技术研究院</w:t>
      </w:r>
    </w:p>
    <w:p w:rsidR="00FE1F13" w:rsidRDefault="00C17C75" w:rsidP="00C17C75">
      <w:pPr>
        <w:spacing w:line="600" w:lineRule="exact"/>
        <w:ind w:firstLineChars="202" w:firstLine="568"/>
        <w:jc w:val="right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二零一五</w:t>
      </w:r>
      <w:r>
        <w:rPr>
          <w:rFonts w:eastAsia="仿宋_GB2312" w:cs="仿宋_GB2312" w:hint="eastAsia"/>
          <w:b/>
          <w:bCs/>
          <w:sz w:val="28"/>
          <w:szCs w:val="28"/>
        </w:rPr>
        <w:t>年十月</w:t>
      </w:r>
    </w:p>
    <w:p w:rsidR="00FE1F13" w:rsidRDefault="00FE1F13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sectPr w:rsidR="00FE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A654A"/>
    <w:multiLevelType w:val="multilevel"/>
    <w:tmpl w:val="691A654A"/>
    <w:lvl w:ilvl="0">
      <w:start w:val="1"/>
      <w:numFmt w:val="japaneseCounting"/>
      <w:lvlText w:val="（%1）"/>
      <w:lvlJc w:val="left"/>
      <w:pPr>
        <w:ind w:left="1451" w:hanging="8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6" w:hanging="420"/>
      </w:pPr>
    </w:lvl>
    <w:lvl w:ilvl="2" w:tentative="1">
      <w:start w:val="1"/>
      <w:numFmt w:val="lowerRoman"/>
      <w:lvlText w:val="%3."/>
      <w:lvlJc w:val="right"/>
      <w:pPr>
        <w:ind w:left="1826" w:hanging="420"/>
      </w:pPr>
    </w:lvl>
    <w:lvl w:ilvl="3" w:tentative="1">
      <w:start w:val="1"/>
      <w:numFmt w:val="decimal"/>
      <w:lvlText w:val="%4."/>
      <w:lvlJc w:val="left"/>
      <w:pPr>
        <w:ind w:left="2246" w:hanging="420"/>
      </w:pPr>
    </w:lvl>
    <w:lvl w:ilvl="4" w:tentative="1">
      <w:start w:val="1"/>
      <w:numFmt w:val="lowerLetter"/>
      <w:lvlText w:val="%5)"/>
      <w:lvlJc w:val="left"/>
      <w:pPr>
        <w:ind w:left="2666" w:hanging="420"/>
      </w:pPr>
    </w:lvl>
    <w:lvl w:ilvl="5" w:tentative="1">
      <w:start w:val="1"/>
      <w:numFmt w:val="lowerRoman"/>
      <w:lvlText w:val="%6."/>
      <w:lvlJc w:val="right"/>
      <w:pPr>
        <w:ind w:left="3086" w:hanging="420"/>
      </w:pPr>
    </w:lvl>
    <w:lvl w:ilvl="6" w:tentative="1">
      <w:start w:val="1"/>
      <w:numFmt w:val="decimal"/>
      <w:lvlText w:val="%7."/>
      <w:lvlJc w:val="left"/>
      <w:pPr>
        <w:ind w:left="3506" w:hanging="420"/>
      </w:pPr>
    </w:lvl>
    <w:lvl w:ilvl="7" w:tentative="1">
      <w:start w:val="1"/>
      <w:numFmt w:val="lowerLetter"/>
      <w:lvlText w:val="%8)"/>
      <w:lvlJc w:val="left"/>
      <w:pPr>
        <w:ind w:left="3926" w:hanging="420"/>
      </w:pPr>
    </w:lvl>
    <w:lvl w:ilvl="8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A4D"/>
    <w:rsid w:val="00000F17"/>
    <w:rsid w:val="00002FF5"/>
    <w:rsid w:val="00037CF5"/>
    <w:rsid w:val="00041BE4"/>
    <w:rsid w:val="00042EE9"/>
    <w:rsid w:val="000570B5"/>
    <w:rsid w:val="000819E3"/>
    <w:rsid w:val="00082BE3"/>
    <w:rsid w:val="000C09DF"/>
    <w:rsid w:val="00141C8B"/>
    <w:rsid w:val="001972DC"/>
    <w:rsid w:val="001A15D0"/>
    <w:rsid w:val="001B132E"/>
    <w:rsid w:val="001B18AF"/>
    <w:rsid w:val="001D066A"/>
    <w:rsid w:val="001D0B6E"/>
    <w:rsid w:val="001E286F"/>
    <w:rsid w:val="001F0B8F"/>
    <w:rsid w:val="001F3B0C"/>
    <w:rsid w:val="00272BA3"/>
    <w:rsid w:val="00273F63"/>
    <w:rsid w:val="00280EDE"/>
    <w:rsid w:val="00292824"/>
    <w:rsid w:val="002B21C7"/>
    <w:rsid w:val="002D5B4E"/>
    <w:rsid w:val="002E52DE"/>
    <w:rsid w:val="003040CF"/>
    <w:rsid w:val="0030774C"/>
    <w:rsid w:val="00344A2A"/>
    <w:rsid w:val="00355E5B"/>
    <w:rsid w:val="00366587"/>
    <w:rsid w:val="003C3852"/>
    <w:rsid w:val="003C3FDC"/>
    <w:rsid w:val="003D60CD"/>
    <w:rsid w:val="003F76F0"/>
    <w:rsid w:val="00462912"/>
    <w:rsid w:val="0047712B"/>
    <w:rsid w:val="004B6AFC"/>
    <w:rsid w:val="004C3F49"/>
    <w:rsid w:val="004E7896"/>
    <w:rsid w:val="00503AED"/>
    <w:rsid w:val="00511BB5"/>
    <w:rsid w:val="00516411"/>
    <w:rsid w:val="0057209C"/>
    <w:rsid w:val="005861C9"/>
    <w:rsid w:val="00591921"/>
    <w:rsid w:val="005937B5"/>
    <w:rsid w:val="005B7DFC"/>
    <w:rsid w:val="005D4D4E"/>
    <w:rsid w:val="005D4F75"/>
    <w:rsid w:val="005D7299"/>
    <w:rsid w:val="00603008"/>
    <w:rsid w:val="00603CF4"/>
    <w:rsid w:val="006175A0"/>
    <w:rsid w:val="00663B9D"/>
    <w:rsid w:val="00686772"/>
    <w:rsid w:val="00695274"/>
    <w:rsid w:val="006A3837"/>
    <w:rsid w:val="006E1C48"/>
    <w:rsid w:val="006E70DE"/>
    <w:rsid w:val="006E72FF"/>
    <w:rsid w:val="006F1799"/>
    <w:rsid w:val="00747137"/>
    <w:rsid w:val="007706D7"/>
    <w:rsid w:val="00771286"/>
    <w:rsid w:val="00786230"/>
    <w:rsid w:val="007866C2"/>
    <w:rsid w:val="007D1B17"/>
    <w:rsid w:val="007F7DED"/>
    <w:rsid w:val="00804D2B"/>
    <w:rsid w:val="00843165"/>
    <w:rsid w:val="008444F0"/>
    <w:rsid w:val="00863D81"/>
    <w:rsid w:val="00863F75"/>
    <w:rsid w:val="008642D6"/>
    <w:rsid w:val="00870E32"/>
    <w:rsid w:val="008C69C9"/>
    <w:rsid w:val="009016AA"/>
    <w:rsid w:val="00906B12"/>
    <w:rsid w:val="0094587A"/>
    <w:rsid w:val="00984509"/>
    <w:rsid w:val="009D4C94"/>
    <w:rsid w:val="009E4B88"/>
    <w:rsid w:val="00A05162"/>
    <w:rsid w:val="00A173C9"/>
    <w:rsid w:val="00A4262C"/>
    <w:rsid w:val="00A42A38"/>
    <w:rsid w:val="00A55FD0"/>
    <w:rsid w:val="00A7309E"/>
    <w:rsid w:val="00A8560B"/>
    <w:rsid w:val="00A85CF9"/>
    <w:rsid w:val="00AC1A4D"/>
    <w:rsid w:val="00AD7D10"/>
    <w:rsid w:val="00AE348E"/>
    <w:rsid w:val="00AF52AF"/>
    <w:rsid w:val="00B02CE3"/>
    <w:rsid w:val="00B155A3"/>
    <w:rsid w:val="00B20D5C"/>
    <w:rsid w:val="00B231D7"/>
    <w:rsid w:val="00B6359C"/>
    <w:rsid w:val="00B64FFD"/>
    <w:rsid w:val="00B6709E"/>
    <w:rsid w:val="00B74A0A"/>
    <w:rsid w:val="00B82687"/>
    <w:rsid w:val="00BA48CC"/>
    <w:rsid w:val="00BC0EFC"/>
    <w:rsid w:val="00BD0260"/>
    <w:rsid w:val="00BF6180"/>
    <w:rsid w:val="00C04747"/>
    <w:rsid w:val="00C17C75"/>
    <w:rsid w:val="00C26BA5"/>
    <w:rsid w:val="00C55CA7"/>
    <w:rsid w:val="00C70CE5"/>
    <w:rsid w:val="00C74D48"/>
    <w:rsid w:val="00CA2B14"/>
    <w:rsid w:val="00CA3216"/>
    <w:rsid w:val="00CA3405"/>
    <w:rsid w:val="00D068BA"/>
    <w:rsid w:val="00D12787"/>
    <w:rsid w:val="00D14366"/>
    <w:rsid w:val="00D45699"/>
    <w:rsid w:val="00D53F2D"/>
    <w:rsid w:val="00D65E27"/>
    <w:rsid w:val="00DE7C4F"/>
    <w:rsid w:val="00E06CCC"/>
    <w:rsid w:val="00E073CA"/>
    <w:rsid w:val="00E24748"/>
    <w:rsid w:val="00E357EA"/>
    <w:rsid w:val="00E42928"/>
    <w:rsid w:val="00E61B09"/>
    <w:rsid w:val="00E664B5"/>
    <w:rsid w:val="00E678DB"/>
    <w:rsid w:val="00E72A2A"/>
    <w:rsid w:val="00EB735F"/>
    <w:rsid w:val="00ED42D0"/>
    <w:rsid w:val="00EE444D"/>
    <w:rsid w:val="00EF393B"/>
    <w:rsid w:val="00F3237D"/>
    <w:rsid w:val="00F854FB"/>
    <w:rsid w:val="00FB119B"/>
    <w:rsid w:val="00FB5FF1"/>
    <w:rsid w:val="00FD5F9E"/>
    <w:rsid w:val="00FE1F13"/>
    <w:rsid w:val="00FF4628"/>
    <w:rsid w:val="67D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Date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locked/>
  </w:style>
  <w:style w:type="character" w:customStyle="1" w:styleId="Char1">
    <w:name w:val="页眉 Char"/>
    <w:basedOn w:val="a0"/>
    <w:link w:val="a5"/>
    <w:uiPriority w:val="99"/>
    <w:semiHidden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178</Words>
  <Characters>1016</Characters>
  <Application>Microsoft Office Word</Application>
  <DocSecurity>0</DocSecurity>
  <Lines>8</Lines>
  <Paragraphs>2</Paragraphs>
  <ScaleCrop>false</ScaleCrop>
  <Company> 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南开大学泰达生物技术研究院研究生优秀奖学金评定细则</dc:title>
  <dc:creator>dell</dc:creator>
  <cp:lastModifiedBy>dell</cp:lastModifiedBy>
  <cp:revision>1</cp:revision>
  <dcterms:created xsi:type="dcterms:W3CDTF">2014-10-14T00:46:00Z</dcterms:created>
  <dcterms:modified xsi:type="dcterms:W3CDTF">2015-10-09T08:00:00Z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